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2C" w:rsidRPr="0057772C" w:rsidRDefault="0057772C" w:rsidP="0057772C">
      <w:pPr>
        <w:jc w:val="center"/>
        <w:rPr>
          <w:rFonts w:eastAsia="Palatino-Bold" w:cstheme="minorHAnsi"/>
          <w:b/>
          <w:sz w:val="32"/>
          <w:szCs w:val="32"/>
          <w:lang w:val="en-US"/>
        </w:rPr>
      </w:pPr>
      <w:bookmarkStart w:id="0" w:name="_GoBack"/>
      <w:r w:rsidRPr="0057772C">
        <w:rPr>
          <w:rFonts w:eastAsia="Palatino-Bold" w:cstheme="minorHAnsi"/>
          <w:b/>
          <w:sz w:val="32"/>
          <w:szCs w:val="32"/>
          <w:lang w:val="en-US"/>
        </w:rPr>
        <w:t>Digital PCR became an invaluable tool for GMO quantification</w:t>
      </w:r>
    </w:p>
    <w:bookmarkEnd w:id="0"/>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2C4DDA">
        <w:rPr>
          <w:rFonts w:cstheme="minorHAnsi"/>
          <w:sz w:val="24"/>
          <w:szCs w:val="24"/>
        </w:rPr>
        <w:t xml:space="preserve">Products containing genetically modified organisms </w:t>
      </w:r>
      <w:proofErr w:type="gramStart"/>
      <w:r w:rsidRPr="002C4DDA">
        <w:rPr>
          <w:rFonts w:cstheme="minorHAnsi"/>
          <w:sz w:val="24"/>
          <w:szCs w:val="24"/>
        </w:rPr>
        <w:t>or</w:t>
      </w:r>
      <w:proofErr w:type="gramEnd"/>
      <w:r w:rsidRPr="002C4DDA">
        <w:rPr>
          <w:rFonts w:cstheme="minorHAnsi"/>
          <w:sz w:val="24"/>
          <w:szCs w:val="24"/>
        </w:rPr>
        <w:t xml:space="preserve"> GMOs have become more and more complex and diverse since the first genetically modified crop has been released on the market in 1994. Many countries regulate cultivation and trade of GMOs through authorisation systems and mandatory labelling of products containing GMOs </w:t>
      </w:r>
      <w:proofErr w:type="gramStart"/>
      <w:r w:rsidRPr="002C4DDA">
        <w:rPr>
          <w:rFonts w:cstheme="minorHAnsi"/>
          <w:sz w:val="24"/>
          <w:szCs w:val="24"/>
        </w:rPr>
        <w:t>above</w:t>
      </w:r>
      <w:proofErr w:type="gramEnd"/>
      <w:r w:rsidRPr="002C4DDA">
        <w:rPr>
          <w:rFonts w:cstheme="minorHAnsi"/>
          <w:sz w:val="24"/>
          <w:szCs w:val="24"/>
        </w:rPr>
        <w:t xml:space="preserve"> a certain threshold. </w:t>
      </w:r>
      <w:r>
        <w:rPr>
          <w:rFonts w:cstheme="minorHAnsi"/>
          <w:sz w:val="24"/>
          <w:szCs w:val="24"/>
        </w:rPr>
        <w:t xml:space="preserve">In Slovenia, as part of the European Union, all products consisting of authorised GMOs need to be labelled when the GMO content exceeds 0.9%. Unauthorised GMOs are forbidden. </w:t>
      </w:r>
      <w:r w:rsidRPr="002C4DDA">
        <w:rPr>
          <w:rFonts w:cstheme="minorHAnsi"/>
          <w:sz w:val="24"/>
          <w:szCs w:val="24"/>
        </w:rPr>
        <w:t xml:space="preserve">To enable regulation, a large number of reliable methods </w:t>
      </w:r>
      <w:proofErr w:type="gramStart"/>
      <w:r w:rsidRPr="002C4DDA">
        <w:rPr>
          <w:rFonts w:cstheme="minorHAnsi"/>
          <w:sz w:val="24"/>
          <w:szCs w:val="24"/>
        </w:rPr>
        <w:t>for</w:t>
      </w:r>
      <w:proofErr w:type="gramEnd"/>
      <w:r w:rsidRPr="002C4DDA">
        <w:rPr>
          <w:rFonts w:cstheme="minorHAnsi"/>
          <w:sz w:val="24"/>
          <w:szCs w:val="24"/>
        </w:rPr>
        <w:t xml:space="preserve"> determination of GMO content, or quantification of GMOs in short, have been developed. Still, despite all the efforts, quantification of GMOs in complex samples has proven to be challenging.  </w:t>
      </w: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2C4DDA">
        <w:rPr>
          <w:rFonts w:cstheme="minorHAnsi"/>
          <w:sz w:val="24"/>
          <w:szCs w:val="24"/>
        </w:rPr>
        <w:t xml:space="preserve">Quantification of GMOs </w:t>
      </w:r>
      <w:proofErr w:type="gramStart"/>
      <w:r w:rsidRPr="002C4DDA">
        <w:rPr>
          <w:rFonts w:cstheme="minorHAnsi"/>
          <w:sz w:val="24"/>
          <w:szCs w:val="24"/>
        </w:rPr>
        <w:t>is</w:t>
      </w:r>
      <w:proofErr w:type="gramEnd"/>
      <w:r w:rsidRPr="002C4DDA">
        <w:rPr>
          <w:rFonts w:cstheme="minorHAnsi"/>
          <w:sz w:val="24"/>
          <w:szCs w:val="24"/>
        </w:rPr>
        <w:t xml:space="preserve"> based on counting specific DNA sequences, much like determining the amount of e.g. brown beans in a mixture of brown and grey beans. If we want to calculate the percentage of </w:t>
      </w:r>
      <w:proofErr w:type="gramStart"/>
      <w:r w:rsidRPr="002C4DDA">
        <w:rPr>
          <w:rFonts w:cstheme="minorHAnsi"/>
          <w:sz w:val="24"/>
          <w:szCs w:val="24"/>
        </w:rPr>
        <w:t>brown</w:t>
      </w:r>
      <w:proofErr w:type="gramEnd"/>
      <w:r w:rsidRPr="002C4DDA">
        <w:rPr>
          <w:rFonts w:cstheme="minorHAnsi"/>
          <w:sz w:val="24"/>
          <w:szCs w:val="24"/>
        </w:rPr>
        <w:t xml:space="preserve"> beans, we have to count the number of brown beans as well as brown and grey beans combined. In GMO quantification, we are comparing the number of species-specific sequences, all beans, with sequences specific </w:t>
      </w:r>
      <w:proofErr w:type="gramStart"/>
      <w:r w:rsidRPr="002C4DDA">
        <w:rPr>
          <w:rFonts w:cstheme="minorHAnsi"/>
          <w:sz w:val="24"/>
          <w:szCs w:val="24"/>
        </w:rPr>
        <w:t>for</w:t>
      </w:r>
      <w:proofErr w:type="gramEnd"/>
      <w:r w:rsidRPr="002C4DDA">
        <w:rPr>
          <w:rFonts w:cstheme="minorHAnsi"/>
          <w:sz w:val="24"/>
          <w:szCs w:val="24"/>
        </w:rPr>
        <w:t xml:space="preserve"> a particular GMO, brown beans.  </w:t>
      </w: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2C4DDA">
        <w:rPr>
          <w:rFonts w:cstheme="minorHAnsi"/>
          <w:sz w:val="24"/>
          <w:szCs w:val="24"/>
        </w:rPr>
        <w:t xml:space="preserve">Unlike counting of beans, counting of DNA sequences </w:t>
      </w:r>
      <w:proofErr w:type="gramStart"/>
      <w:r w:rsidRPr="002C4DDA">
        <w:rPr>
          <w:rFonts w:cstheme="minorHAnsi"/>
          <w:sz w:val="24"/>
          <w:szCs w:val="24"/>
        </w:rPr>
        <w:t>is</w:t>
      </w:r>
      <w:proofErr w:type="gramEnd"/>
      <w:r w:rsidRPr="002C4DDA">
        <w:rPr>
          <w:rFonts w:cstheme="minorHAnsi"/>
          <w:sz w:val="24"/>
          <w:szCs w:val="24"/>
        </w:rPr>
        <w:t xml:space="preserve"> not as straightforward. In order to be detected, DNA </w:t>
      </w:r>
      <w:proofErr w:type="gramStart"/>
      <w:r w:rsidRPr="002C4DDA">
        <w:rPr>
          <w:rFonts w:cstheme="minorHAnsi"/>
          <w:sz w:val="24"/>
          <w:szCs w:val="24"/>
        </w:rPr>
        <w:t>first</w:t>
      </w:r>
      <w:proofErr w:type="gramEnd"/>
      <w:r w:rsidRPr="002C4DDA">
        <w:rPr>
          <w:rFonts w:cstheme="minorHAnsi"/>
          <w:sz w:val="24"/>
          <w:szCs w:val="24"/>
        </w:rPr>
        <w:t xml:space="preserve"> needs to be amp</w:t>
      </w:r>
      <w:r>
        <w:rPr>
          <w:rFonts w:cstheme="minorHAnsi"/>
          <w:sz w:val="24"/>
          <w:szCs w:val="24"/>
        </w:rPr>
        <w:t>lified by</w:t>
      </w:r>
      <w:r w:rsidRPr="002C4DDA">
        <w:rPr>
          <w:rFonts w:cstheme="minorHAnsi"/>
          <w:sz w:val="24"/>
          <w:szCs w:val="24"/>
        </w:rPr>
        <w:t xml:space="preserve"> polymerase chain reaction </w:t>
      </w:r>
      <w:r>
        <w:rPr>
          <w:rFonts w:cstheme="minorHAnsi"/>
          <w:sz w:val="24"/>
          <w:szCs w:val="24"/>
        </w:rPr>
        <w:t>(</w:t>
      </w:r>
      <w:r w:rsidRPr="002C4DDA">
        <w:rPr>
          <w:rFonts w:cstheme="minorHAnsi"/>
          <w:sz w:val="24"/>
          <w:szCs w:val="24"/>
        </w:rPr>
        <w:t xml:space="preserve">PCR) </w:t>
      </w:r>
      <w:r>
        <w:rPr>
          <w:rFonts w:cstheme="minorHAnsi"/>
          <w:sz w:val="24"/>
          <w:szCs w:val="24"/>
        </w:rPr>
        <w:t xml:space="preserve">to a sufficient quantity. </w:t>
      </w: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color w:val="4472C4" w:themeColor="accent5"/>
          <w:sz w:val="24"/>
          <w:szCs w:val="24"/>
        </w:rPr>
      </w:pPr>
      <w:r w:rsidRPr="00874C54">
        <w:rPr>
          <w:rFonts w:cstheme="minorHAnsi"/>
          <w:sz w:val="24"/>
          <w:szCs w:val="24"/>
        </w:rPr>
        <w:t xml:space="preserve">One of the variations of PCR </w:t>
      </w:r>
      <w:proofErr w:type="gramStart"/>
      <w:r w:rsidRPr="00874C54">
        <w:rPr>
          <w:rFonts w:cstheme="minorHAnsi"/>
          <w:sz w:val="24"/>
          <w:szCs w:val="24"/>
        </w:rPr>
        <w:t>is</w:t>
      </w:r>
      <w:proofErr w:type="gramEnd"/>
      <w:r w:rsidRPr="00874C54">
        <w:rPr>
          <w:rFonts w:cstheme="minorHAnsi"/>
          <w:sz w:val="24"/>
          <w:szCs w:val="24"/>
        </w:rPr>
        <w:t xml:space="preserve"> real-time quantitative </w:t>
      </w:r>
      <w:r>
        <w:rPr>
          <w:rFonts w:cstheme="minorHAnsi"/>
          <w:sz w:val="24"/>
          <w:szCs w:val="24"/>
        </w:rPr>
        <w:t xml:space="preserve">PCR or </w:t>
      </w:r>
      <w:r w:rsidRPr="00874C54">
        <w:rPr>
          <w:rFonts w:cstheme="minorHAnsi"/>
          <w:sz w:val="24"/>
          <w:szCs w:val="24"/>
        </w:rPr>
        <w:t xml:space="preserve">qPCR, an accurate, precise and relatively </w:t>
      </w:r>
      <w:r w:rsidRPr="00713150">
        <w:rPr>
          <w:rFonts w:cstheme="minorHAnsi"/>
          <w:sz w:val="24"/>
          <w:szCs w:val="24"/>
        </w:rPr>
        <w:t xml:space="preserve">fast method used in many fields where quantification of DNA or other nucleic acids is needed. Amplification of nucleic acids </w:t>
      </w:r>
      <w:proofErr w:type="gramStart"/>
      <w:r w:rsidRPr="00713150">
        <w:rPr>
          <w:rFonts w:cstheme="minorHAnsi"/>
          <w:sz w:val="24"/>
          <w:szCs w:val="24"/>
        </w:rPr>
        <w:t>is</w:t>
      </w:r>
      <w:proofErr w:type="gramEnd"/>
      <w:r w:rsidRPr="00713150">
        <w:rPr>
          <w:rFonts w:cstheme="minorHAnsi"/>
          <w:sz w:val="24"/>
          <w:szCs w:val="24"/>
        </w:rPr>
        <w:t xml:space="preserve"> achieved with the use of primers (oligonucleotides), which target a specific DNA sequence. From a </w:t>
      </w:r>
      <w:proofErr w:type="gramStart"/>
      <w:r w:rsidRPr="00713150">
        <w:rPr>
          <w:rFonts w:cstheme="minorHAnsi"/>
          <w:sz w:val="24"/>
          <w:szCs w:val="24"/>
        </w:rPr>
        <w:t>well</w:t>
      </w:r>
      <w:proofErr w:type="gramEnd"/>
      <w:r w:rsidRPr="00713150">
        <w:rPr>
          <w:rFonts w:cstheme="minorHAnsi"/>
          <w:sz w:val="24"/>
          <w:szCs w:val="24"/>
        </w:rPr>
        <w:t xml:space="preserve">-evaluated reference material containing the DNA sequences sought, a calibration curve is prepared. The calibration curve </w:t>
      </w:r>
      <w:proofErr w:type="gramStart"/>
      <w:r w:rsidRPr="00713150">
        <w:rPr>
          <w:rFonts w:cstheme="minorHAnsi"/>
          <w:sz w:val="24"/>
          <w:szCs w:val="24"/>
        </w:rPr>
        <w:t>is</w:t>
      </w:r>
      <w:proofErr w:type="gramEnd"/>
      <w:r w:rsidRPr="00713150">
        <w:rPr>
          <w:rFonts w:cstheme="minorHAnsi"/>
          <w:sz w:val="24"/>
          <w:szCs w:val="24"/>
        </w:rPr>
        <w:t xml:space="preserve"> th</w:t>
      </w:r>
      <w:r>
        <w:rPr>
          <w:rFonts w:cstheme="minorHAnsi"/>
          <w:sz w:val="24"/>
          <w:szCs w:val="24"/>
        </w:rPr>
        <w:t>e</w:t>
      </w:r>
      <w:r w:rsidRPr="00713150">
        <w:rPr>
          <w:rFonts w:cstheme="minorHAnsi"/>
          <w:sz w:val="24"/>
          <w:szCs w:val="24"/>
        </w:rPr>
        <w:t xml:space="preserve">n compared to </w:t>
      </w:r>
      <w:r>
        <w:rPr>
          <w:rFonts w:cstheme="minorHAnsi"/>
          <w:sz w:val="24"/>
          <w:szCs w:val="24"/>
        </w:rPr>
        <w:t xml:space="preserve">the </w:t>
      </w:r>
      <w:r w:rsidRPr="00713150">
        <w:rPr>
          <w:rFonts w:cstheme="minorHAnsi"/>
          <w:sz w:val="24"/>
          <w:szCs w:val="24"/>
        </w:rPr>
        <w:t xml:space="preserve">sample curves. </w:t>
      </w:r>
      <w:r w:rsidRPr="00ED297A">
        <w:rPr>
          <w:rFonts w:cstheme="minorHAnsi"/>
          <w:sz w:val="24"/>
          <w:szCs w:val="24"/>
        </w:rPr>
        <w:t xml:space="preserve">Such </w:t>
      </w:r>
      <w:proofErr w:type="gramStart"/>
      <w:r w:rsidRPr="00ED297A">
        <w:rPr>
          <w:rFonts w:cstheme="minorHAnsi"/>
          <w:sz w:val="24"/>
          <w:szCs w:val="24"/>
        </w:rPr>
        <w:t>an</w:t>
      </w:r>
      <w:proofErr w:type="gramEnd"/>
      <w:r w:rsidRPr="00ED297A">
        <w:rPr>
          <w:rFonts w:cstheme="minorHAnsi"/>
          <w:sz w:val="24"/>
          <w:szCs w:val="24"/>
        </w:rPr>
        <w:t xml:space="preserve"> approach enables us to determine the amount of target DNA sequences in the sample. </w:t>
      </w:r>
      <w:r w:rsidRPr="00456A9F">
        <w:rPr>
          <w:rFonts w:cstheme="minorHAnsi"/>
          <w:sz w:val="24"/>
          <w:szCs w:val="24"/>
        </w:rPr>
        <w:t xml:space="preserve">In the </w:t>
      </w:r>
      <w:proofErr w:type="gramStart"/>
      <w:r w:rsidRPr="00456A9F">
        <w:rPr>
          <w:rFonts w:cstheme="minorHAnsi"/>
          <w:sz w:val="24"/>
          <w:szCs w:val="24"/>
        </w:rPr>
        <w:t>case</w:t>
      </w:r>
      <w:proofErr w:type="gramEnd"/>
      <w:r w:rsidRPr="00456A9F">
        <w:rPr>
          <w:rFonts w:cstheme="minorHAnsi"/>
          <w:sz w:val="24"/>
          <w:szCs w:val="24"/>
        </w:rPr>
        <w:t xml:space="preserve"> </w:t>
      </w:r>
      <w:r>
        <w:rPr>
          <w:rFonts w:cstheme="minorHAnsi"/>
          <w:sz w:val="24"/>
          <w:szCs w:val="24"/>
        </w:rPr>
        <w:t xml:space="preserve">of </w:t>
      </w:r>
      <w:r w:rsidRPr="00456A9F">
        <w:rPr>
          <w:rFonts w:cstheme="minorHAnsi"/>
          <w:sz w:val="24"/>
          <w:szCs w:val="24"/>
        </w:rPr>
        <w:t>GMO content determination, such analysis is done twice</w:t>
      </w:r>
      <w:r>
        <w:rPr>
          <w:rFonts w:cstheme="minorHAnsi"/>
          <w:sz w:val="24"/>
          <w:szCs w:val="24"/>
        </w:rPr>
        <w:t xml:space="preserve"> as</w:t>
      </w:r>
      <w:r w:rsidRPr="00456A9F">
        <w:rPr>
          <w:rFonts w:cstheme="minorHAnsi"/>
          <w:sz w:val="24"/>
          <w:szCs w:val="24"/>
        </w:rPr>
        <w:t xml:space="preserve"> it is necessary to </w:t>
      </w:r>
      <w:r>
        <w:rPr>
          <w:rFonts w:cstheme="minorHAnsi"/>
          <w:sz w:val="24"/>
          <w:szCs w:val="24"/>
        </w:rPr>
        <w:t>amplify two different sequences;</w:t>
      </w:r>
      <w:r w:rsidRPr="00456A9F">
        <w:rPr>
          <w:rFonts w:cstheme="minorHAnsi"/>
          <w:sz w:val="24"/>
          <w:szCs w:val="24"/>
        </w:rPr>
        <w:t xml:space="preserve"> a sequence characteristic of the GMO and the sequence characteristic of the biological species (species-specific sequence). The proportion of GMOs </w:t>
      </w:r>
      <w:proofErr w:type="gramStart"/>
      <w:r w:rsidRPr="00456A9F">
        <w:rPr>
          <w:rFonts w:cstheme="minorHAnsi"/>
          <w:sz w:val="24"/>
          <w:szCs w:val="24"/>
        </w:rPr>
        <w:t>is</w:t>
      </w:r>
      <w:proofErr w:type="gramEnd"/>
      <w:r w:rsidRPr="00456A9F">
        <w:rPr>
          <w:rFonts w:cstheme="minorHAnsi"/>
          <w:sz w:val="24"/>
          <w:szCs w:val="24"/>
        </w:rPr>
        <w:t xml:space="preserve"> then determined by comparing the measured quantities of both sequences.</w:t>
      </w: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color w:val="4472C4" w:themeColor="accent5"/>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874C54">
        <w:rPr>
          <w:rFonts w:cstheme="minorHAnsi"/>
          <w:sz w:val="24"/>
          <w:szCs w:val="24"/>
        </w:rPr>
        <w:t xml:space="preserve">Unfortunately, qPCR cannot be used </w:t>
      </w:r>
      <w:proofErr w:type="gramStart"/>
      <w:r w:rsidRPr="00874C54">
        <w:rPr>
          <w:rFonts w:cstheme="minorHAnsi"/>
          <w:sz w:val="24"/>
          <w:szCs w:val="24"/>
        </w:rPr>
        <w:t>for</w:t>
      </w:r>
      <w:proofErr w:type="gramEnd"/>
      <w:r w:rsidRPr="00874C54">
        <w:rPr>
          <w:rFonts w:cstheme="minorHAnsi"/>
          <w:sz w:val="24"/>
          <w:szCs w:val="24"/>
        </w:rPr>
        <w:t xml:space="preserve"> all samples, as it is not reliable enough for samples, which contain a low amount of DNA, or that contain a high concentration of inhibitors that decrease the efficiency of the reaction. In recent years a </w:t>
      </w:r>
      <w:proofErr w:type="gramStart"/>
      <w:r w:rsidRPr="00874C54">
        <w:rPr>
          <w:rFonts w:cstheme="minorHAnsi"/>
          <w:sz w:val="24"/>
          <w:szCs w:val="24"/>
        </w:rPr>
        <w:t>new</w:t>
      </w:r>
      <w:proofErr w:type="gramEnd"/>
      <w:r w:rsidRPr="00874C54">
        <w:rPr>
          <w:rFonts w:cstheme="minorHAnsi"/>
          <w:sz w:val="24"/>
          <w:szCs w:val="24"/>
        </w:rPr>
        <w:t xml:space="preserve"> approach for quantification of nucleic acids, called digital polymerase chain reaction or dPCR, has been developed. With this approach, a reliable quantification of nucleic acids has significantly increased.  </w:t>
      </w: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Pr>
          <w:rFonts w:cstheme="minorHAnsi"/>
          <w:sz w:val="24"/>
          <w:szCs w:val="24"/>
        </w:rPr>
        <w:lastRenderedPageBreak/>
        <w:t>In</w:t>
      </w:r>
      <w:r w:rsidRPr="00E6745D">
        <w:rPr>
          <w:rFonts w:cstheme="minorHAnsi"/>
          <w:sz w:val="24"/>
          <w:szCs w:val="24"/>
        </w:rPr>
        <w:t xml:space="preserve"> dPCR, we </w:t>
      </w:r>
      <w:r>
        <w:rPr>
          <w:rFonts w:cstheme="minorHAnsi"/>
          <w:sz w:val="24"/>
          <w:szCs w:val="24"/>
        </w:rPr>
        <w:t>partition the sample into</w:t>
      </w:r>
      <w:r w:rsidRPr="00E6745D">
        <w:rPr>
          <w:rFonts w:cstheme="minorHAnsi"/>
          <w:sz w:val="24"/>
          <w:szCs w:val="24"/>
        </w:rPr>
        <w:t xml:space="preserve"> </w:t>
      </w:r>
      <w:proofErr w:type="gramStart"/>
      <w:r w:rsidRPr="00E6745D">
        <w:rPr>
          <w:rFonts w:cstheme="minorHAnsi"/>
          <w:sz w:val="24"/>
          <w:szCs w:val="24"/>
        </w:rPr>
        <w:t>small</w:t>
      </w:r>
      <w:proofErr w:type="gramEnd"/>
      <w:r w:rsidRPr="00E6745D">
        <w:rPr>
          <w:rFonts w:cstheme="minorHAnsi"/>
          <w:sz w:val="24"/>
          <w:szCs w:val="24"/>
        </w:rPr>
        <w:t xml:space="preserve"> sub-samples that </w:t>
      </w:r>
      <w:r>
        <w:rPr>
          <w:rFonts w:cstheme="minorHAnsi"/>
          <w:sz w:val="24"/>
          <w:szCs w:val="24"/>
        </w:rPr>
        <w:t xml:space="preserve">contain only one part of the DNA </w:t>
      </w:r>
      <w:r w:rsidRPr="00E6745D">
        <w:rPr>
          <w:rFonts w:cstheme="minorHAnsi"/>
          <w:sz w:val="24"/>
          <w:szCs w:val="24"/>
        </w:rPr>
        <w:t xml:space="preserve">in each sub-sample. In practice, they </w:t>
      </w:r>
      <w:proofErr w:type="gramStart"/>
      <w:r w:rsidRPr="00E6745D">
        <w:rPr>
          <w:rFonts w:cstheme="minorHAnsi"/>
          <w:sz w:val="24"/>
          <w:szCs w:val="24"/>
        </w:rPr>
        <w:t>may</w:t>
      </w:r>
      <w:proofErr w:type="gramEnd"/>
      <w:r w:rsidRPr="00E6745D">
        <w:rPr>
          <w:rFonts w:cstheme="minorHAnsi"/>
          <w:sz w:val="24"/>
          <w:szCs w:val="24"/>
        </w:rPr>
        <w:t xml:space="preserve"> be more, but we </w:t>
      </w:r>
      <w:r>
        <w:rPr>
          <w:rFonts w:cstheme="minorHAnsi"/>
          <w:sz w:val="24"/>
          <w:szCs w:val="24"/>
        </w:rPr>
        <w:t xml:space="preserve">know that </w:t>
      </w:r>
      <w:r w:rsidRPr="00E6745D">
        <w:rPr>
          <w:rFonts w:cstheme="minorHAnsi"/>
          <w:sz w:val="24"/>
          <w:szCs w:val="24"/>
        </w:rPr>
        <w:t xml:space="preserve">such cases can be properly evaluated using statistical analysis. Then, each of the sub-samples </w:t>
      </w:r>
      <w:proofErr w:type="gramStart"/>
      <w:r w:rsidRPr="00E6745D">
        <w:rPr>
          <w:rFonts w:cstheme="minorHAnsi"/>
          <w:sz w:val="24"/>
          <w:szCs w:val="24"/>
        </w:rPr>
        <w:t>is</w:t>
      </w:r>
      <w:proofErr w:type="gramEnd"/>
      <w:r w:rsidRPr="00E6745D">
        <w:rPr>
          <w:rFonts w:cstheme="minorHAnsi"/>
          <w:sz w:val="24"/>
          <w:szCs w:val="24"/>
        </w:rPr>
        <w:t xml:space="preserve"> </w:t>
      </w:r>
      <w:r>
        <w:rPr>
          <w:rFonts w:cstheme="minorHAnsi"/>
          <w:sz w:val="24"/>
          <w:szCs w:val="24"/>
        </w:rPr>
        <w:t>amplified</w:t>
      </w:r>
      <w:r w:rsidRPr="00E6745D">
        <w:rPr>
          <w:rFonts w:cstheme="minorHAnsi"/>
          <w:sz w:val="24"/>
          <w:szCs w:val="24"/>
        </w:rPr>
        <w:t xml:space="preserve"> by PCR. Since we ensure that only the</w:t>
      </w:r>
      <w:r>
        <w:rPr>
          <w:rFonts w:cstheme="minorHAnsi"/>
          <w:sz w:val="24"/>
          <w:szCs w:val="24"/>
        </w:rPr>
        <w:t xml:space="preserve"> </w:t>
      </w:r>
      <w:proofErr w:type="gramStart"/>
      <w:r>
        <w:rPr>
          <w:rFonts w:cstheme="minorHAnsi"/>
          <w:sz w:val="24"/>
          <w:szCs w:val="24"/>
        </w:rPr>
        <w:t>target</w:t>
      </w:r>
      <w:proofErr w:type="gramEnd"/>
      <w:r w:rsidRPr="00E6745D">
        <w:rPr>
          <w:rFonts w:cstheme="minorHAnsi"/>
          <w:sz w:val="24"/>
          <w:szCs w:val="24"/>
        </w:rPr>
        <w:t xml:space="preserve"> DNA sequence is </w:t>
      </w:r>
      <w:r>
        <w:rPr>
          <w:rFonts w:cstheme="minorHAnsi"/>
          <w:sz w:val="24"/>
          <w:szCs w:val="24"/>
        </w:rPr>
        <w:t>amplified</w:t>
      </w:r>
      <w:r w:rsidRPr="00E6745D">
        <w:rPr>
          <w:rFonts w:cstheme="minorHAnsi"/>
          <w:sz w:val="24"/>
          <w:szCs w:val="24"/>
        </w:rPr>
        <w:t>, the amplification will only occur in sub-samples</w:t>
      </w:r>
      <w:r>
        <w:rPr>
          <w:rFonts w:cstheme="minorHAnsi"/>
          <w:sz w:val="24"/>
          <w:szCs w:val="24"/>
        </w:rPr>
        <w:t xml:space="preserve"> containing target </w:t>
      </w:r>
      <w:r w:rsidRPr="00E6745D">
        <w:rPr>
          <w:rFonts w:cstheme="minorHAnsi"/>
          <w:sz w:val="24"/>
          <w:szCs w:val="24"/>
        </w:rPr>
        <w:t>DNA.</w:t>
      </w:r>
    </w:p>
    <w:p w:rsidR="0057772C" w:rsidRPr="00E6745D"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E6745D">
        <w:rPr>
          <w:rFonts w:cstheme="minorHAnsi"/>
          <w:sz w:val="24"/>
          <w:szCs w:val="24"/>
        </w:rPr>
        <w:t xml:space="preserve">dPCR </w:t>
      </w:r>
      <w:r>
        <w:rPr>
          <w:rFonts w:cstheme="minorHAnsi"/>
          <w:sz w:val="24"/>
          <w:szCs w:val="24"/>
        </w:rPr>
        <w:t>does not need</w:t>
      </w:r>
      <w:proofErr w:type="gramStart"/>
      <w:r>
        <w:rPr>
          <w:rFonts w:cstheme="minorHAnsi"/>
          <w:sz w:val="24"/>
          <w:szCs w:val="24"/>
        </w:rPr>
        <w:t xml:space="preserve"> a</w:t>
      </w:r>
      <w:proofErr w:type="gramEnd"/>
      <w:r>
        <w:rPr>
          <w:rFonts w:cstheme="minorHAnsi"/>
          <w:sz w:val="24"/>
          <w:szCs w:val="24"/>
        </w:rPr>
        <w:t xml:space="preserve"> standard curve for DNA quantification. A</w:t>
      </w:r>
      <w:r w:rsidRPr="00E6745D">
        <w:rPr>
          <w:rFonts w:cstheme="minorHAnsi"/>
          <w:sz w:val="24"/>
          <w:szCs w:val="24"/>
        </w:rPr>
        <w:t>fter the reaction</w:t>
      </w:r>
      <w:r>
        <w:rPr>
          <w:rFonts w:cstheme="minorHAnsi"/>
          <w:sz w:val="24"/>
          <w:szCs w:val="24"/>
        </w:rPr>
        <w:t>,</w:t>
      </w:r>
      <w:r w:rsidRPr="00E6745D">
        <w:rPr>
          <w:rFonts w:cstheme="minorHAnsi"/>
          <w:sz w:val="24"/>
          <w:szCs w:val="24"/>
        </w:rPr>
        <w:t xml:space="preserve"> we </w:t>
      </w:r>
      <w:proofErr w:type="gramStart"/>
      <w:r w:rsidRPr="00E6745D">
        <w:rPr>
          <w:rFonts w:cstheme="minorHAnsi"/>
          <w:sz w:val="24"/>
          <w:szCs w:val="24"/>
        </w:rPr>
        <w:t>can</w:t>
      </w:r>
      <w:proofErr w:type="gramEnd"/>
      <w:r w:rsidRPr="00E6745D">
        <w:rPr>
          <w:rFonts w:cstheme="minorHAnsi"/>
          <w:sz w:val="24"/>
          <w:szCs w:val="24"/>
        </w:rPr>
        <w:t xml:space="preserve"> count all sub-</w:t>
      </w:r>
      <w:r>
        <w:rPr>
          <w:rFonts w:cstheme="minorHAnsi"/>
          <w:sz w:val="24"/>
          <w:szCs w:val="24"/>
        </w:rPr>
        <w:t xml:space="preserve">samples in which the DNA has been amplified and determine the amount of DNA in the sample. </w:t>
      </w:r>
      <w:proofErr w:type="gramStart"/>
      <w:r>
        <w:rPr>
          <w:rFonts w:cstheme="minorHAnsi"/>
          <w:sz w:val="24"/>
          <w:szCs w:val="24"/>
        </w:rPr>
        <w:t>For</w:t>
      </w:r>
      <w:proofErr w:type="gramEnd"/>
      <w:r>
        <w:rPr>
          <w:rFonts w:cstheme="minorHAnsi"/>
          <w:sz w:val="24"/>
          <w:szCs w:val="24"/>
        </w:rPr>
        <w:t xml:space="preserve"> GMO quantification</w:t>
      </w:r>
      <w:r w:rsidRPr="00E6745D">
        <w:rPr>
          <w:rFonts w:cstheme="minorHAnsi"/>
          <w:sz w:val="24"/>
          <w:szCs w:val="24"/>
        </w:rPr>
        <w:t>, the amount of DNA characteristic for the GMO and the amount of DNA that is inherent or characteristic for a particular biological species is determined. The ratio of these two numbers corresponds to the proportion of genetically modified DNA in the sample.</w:t>
      </w:r>
    </w:p>
    <w:p w:rsidR="0057772C" w:rsidRPr="00874C54"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340D8A">
        <w:rPr>
          <w:rFonts w:cstheme="minorHAnsi"/>
          <w:sz w:val="24"/>
          <w:szCs w:val="24"/>
        </w:rPr>
        <w:t xml:space="preserve">Building on a </w:t>
      </w:r>
      <w:proofErr w:type="gramStart"/>
      <w:r w:rsidRPr="00340D8A">
        <w:rPr>
          <w:rFonts w:cstheme="minorHAnsi"/>
          <w:sz w:val="24"/>
          <w:szCs w:val="24"/>
        </w:rPr>
        <w:t>long</w:t>
      </w:r>
      <w:proofErr w:type="gramEnd"/>
      <w:r w:rsidRPr="00340D8A">
        <w:rPr>
          <w:rFonts w:cstheme="minorHAnsi"/>
          <w:sz w:val="24"/>
          <w:szCs w:val="24"/>
        </w:rPr>
        <w:t xml:space="preserve"> history of studying methods for nucleic acid quantification, the researchers form </w:t>
      </w:r>
      <w:r>
        <w:rPr>
          <w:rFonts w:cstheme="minorHAnsi"/>
          <w:sz w:val="24"/>
          <w:szCs w:val="24"/>
        </w:rPr>
        <w:t xml:space="preserve">the </w:t>
      </w:r>
      <w:r w:rsidRPr="00340D8A">
        <w:rPr>
          <w:rFonts w:cstheme="minorHAnsi"/>
          <w:sz w:val="24"/>
          <w:szCs w:val="24"/>
        </w:rPr>
        <w:t xml:space="preserve">Slovenian National Institute of Biology have proven that dPCR is an invaluable tool in GMO quantification. </w:t>
      </w:r>
    </w:p>
    <w:p w:rsidR="0057772C" w:rsidRPr="00340D8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2C4DDA">
        <w:rPr>
          <w:rFonts w:cstheme="minorHAnsi"/>
          <w:sz w:val="24"/>
          <w:szCs w:val="24"/>
        </w:rPr>
        <w:t xml:space="preserve">In their study, the authors verified the sensitivity and accuracy of the dPCR methods </w:t>
      </w:r>
      <w:proofErr w:type="gramStart"/>
      <w:r w:rsidRPr="002C4DDA">
        <w:rPr>
          <w:rFonts w:cstheme="minorHAnsi"/>
          <w:sz w:val="24"/>
          <w:szCs w:val="24"/>
        </w:rPr>
        <w:t>for</w:t>
      </w:r>
      <w:proofErr w:type="gramEnd"/>
      <w:r w:rsidRPr="002C4DDA">
        <w:rPr>
          <w:rFonts w:cstheme="minorHAnsi"/>
          <w:sz w:val="24"/>
          <w:szCs w:val="24"/>
        </w:rPr>
        <w:t xml:space="preserve"> quantification of Roundup Ready</w:t>
      </w:r>
      <w:r>
        <w:rPr>
          <w:rFonts w:cstheme="minorHAnsi"/>
          <w:sz w:val="24"/>
          <w:szCs w:val="24"/>
        </w:rPr>
        <w:t xml:space="preserve"> soybean</w:t>
      </w:r>
      <w:r w:rsidRPr="002C4DDA">
        <w:rPr>
          <w:rFonts w:cstheme="minorHAnsi"/>
          <w:sz w:val="24"/>
          <w:szCs w:val="24"/>
        </w:rPr>
        <w:t xml:space="preserve">. They </w:t>
      </w:r>
      <w:r>
        <w:rPr>
          <w:rFonts w:cstheme="minorHAnsi"/>
          <w:sz w:val="24"/>
          <w:szCs w:val="24"/>
        </w:rPr>
        <w:t xml:space="preserve">showed that different DNA extraction methods have a large effect on qPCR </w:t>
      </w:r>
      <w:proofErr w:type="gramStart"/>
      <w:r>
        <w:rPr>
          <w:rFonts w:cstheme="minorHAnsi"/>
          <w:sz w:val="24"/>
          <w:szCs w:val="24"/>
        </w:rPr>
        <w:t>but</w:t>
      </w:r>
      <w:proofErr w:type="gramEnd"/>
      <w:r>
        <w:rPr>
          <w:rFonts w:cstheme="minorHAnsi"/>
          <w:sz w:val="24"/>
          <w:szCs w:val="24"/>
        </w:rPr>
        <w:t xml:space="preserve"> not on dPCR. This makes dPCR </w:t>
      </w:r>
      <w:proofErr w:type="gramStart"/>
      <w:r>
        <w:rPr>
          <w:rFonts w:cstheme="minorHAnsi"/>
          <w:sz w:val="24"/>
          <w:szCs w:val="24"/>
        </w:rPr>
        <w:t>an</w:t>
      </w:r>
      <w:proofErr w:type="gramEnd"/>
      <w:r>
        <w:rPr>
          <w:rFonts w:cstheme="minorHAnsi"/>
          <w:sz w:val="24"/>
          <w:szCs w:val="24"/>
        </w:rPr>
        <w:t xml:space="preserve"> ideal method for quantification of complex samples that contain more inhibitors of the reaction, contain a low amount of DNA, or where DNA (partially) degraded.  In such samples, the content of GMOs cannot be determined by qPCR. However, it </w:t>
      </w:r>
      <w:proofErr w:type="gramStart"/>
      <w:r>
        <w:rPr>
          <w:rFonts w:cstheme="minorHAnsi"/>
          <w:sz w:val="24"/>
          <w:szCs w:val="24"/>
        </w:rPr>
        <w:t>can</w:t>
      </w:r>
      <w:proofErr w:type="gramEnd"/>
      <w:r>
        <w:rPr>
          <w:rFonts w:cstheme="minorHAnsi"/>
          <w:sz w:val="24"/>
          <w:szCs w:val="24"/>
        </w:rPr>
        <w:t xml:space="preserve"> be done with dPCR.   </w:t>
      </w:r>
    </w:p>
    <w:p w:rsidR="0057772C"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r w:rsidRPr="002C4DDA">
        <w:rPr>
          <w:rFonts w:cstheme="minorHAnsi"/>
          <w:sz w:val="24"/>
          <w:szCs w:val="24"/>
        </w:rPr>
        <w:t xml:space="preserve">“The technology has proven to be extremely robust, yet sensitive, ideal </w:t>
      </w:r>
      <w:proofErr w:type="gramStart"/>
      <w:r w:rsidRPr="002C4DDA">
        <w:rPr>
          <w:rFonts w:cstheme="minorHAnsi"/>
          <w:sz w:val="24"/>
          <w:szCs w:val="24"/>
        </w:rPr>
        <w:t>for</w:t>
      </w:r>
      <w:proofErr w:type="gramEnd"/>
      <w:r w:rsidRPr="002C4DDA">
        <w:rPr>
          <w:rFonts w:cstheme="minorHAnsi"/>
          <w:sz w:val="24"/>
          <w:szCs w:val="24"/>
        </w:rPr>
        <w:t xml:space="preserve"> quantification of GMOs in complex samples” – said Dr. Alexandra Bogožalec Košir, the first author of the study.</w:t>
      </w:r>
    </w:p>
    <w:p w:rsidR="0057772C" w:rsidRDefault="0057772C" w:rsidP="0057772C">
      <w:pPr>
        <w:ind w:firstLine="360"/>
        <w:jc w:val="both"/>
        <w:rPr>
          <w:rFonts w:cstheme="minorHAnsi"/>
          <w:sz w:val="24"/>
          <w:szCs w:val="24"/>
        </w:rPr>
      </w:pPr>
    </w:p>
    <w:p w:rsidR="0057772C" w:rsidRDefault="0057772C" w:rsidP="0057772C">
      <w:pPr>
        <w:ind w:firstLine="360"/>
        <w:jc w:val="both"/>
        <w:rPr>
          <w:rFonts w:cstheme="minorHAnsi"/>
          <w:sz w:val="24"/>
          <w:szCs w:val="24"/>
        </w:rPr>
      </w:pPr>
      <w:r w:rsidRPr="002C4DDA">
        <w:rPr>
          <w:rFonts w:cstheme="minorHAnsi"/>
          <w:sz w:val="24"/>
          <w:szCs w:val="24"/>
        </w:rPr>
        <w:t xml:space="preserve"> “As we are the National reference laboratory </w:t>
      </w:r>
      <w:proofErr w:type="gramStart"/>
      <w:r w:rsidRPr="002C4DDA">
        <w:rPr>
          <w:rFonts w:cstheme="minorHAnsi"/>
          <w:sz w:val="24"/>
          <w:szCs w:val="24"/>
        </w:rPr>
        <w:t>for</w:t>
      </w:r>
      <w:proofErr w:type="gramEnd"/>
      <w:r w:rsidRPr="002C4DDA">
        <w:rPr>
          <w:rFonts w:cstheme="minorHAnsi"/>
          <w:sz w:val="24"/>
          <w:szCs w:val="24"/>
        </w:rPr>
        <w:t xml:space="preserve"> GMO testing, it was important to find a method that we could use for complex samples, where the GMO content could not be quantified using the standard qPCR approach”– added Dr. Mojca Milavec, the coordinator of the study.</w:t>
      </w:r>
    </w:p>
    <w:p w:rsidR="0057772C" w:rsidRDefault="0057772C" w:rsidP="0057772C">
      <w:pPr>
        <w:ind w:firstLine="360"/>
        <w:jc w:val="both"/>
        <w:rPr>
          <w:rFonts w:cstheme="minorHAnsi"/>
          <w:sz w:val="24"/>
          <w:szCs w:val="24"/>
        </w:rPr>
      </w:pPr>
    </w:p>
    <w:p w:rsidR="0057772C" w:rsidRDefault="0057772C" w:rsidP="0057772C">
      <w:pPr>
        <w:ind w:firstLine="360"/>
        <w:jc w:val="both"/>
        <w:rPr>
          <w:rFonts w:cstheme="minorHAnsi"/>
          <w:sz w:val="24"/>
          <w:szCs w:val="24"/>
        </w:rPr>
      </w:pPr>
      <w:r w:rsidRPr="002C4DDA">
        <w:rPr>
          <w:rFonts w:cstheme="minorHAnsi"/>
          <w:sz w:val="24"/>
          <w:szCs w:val="24"/>
        </w:rPr>
        <w:t xml:space="preserve">The three dPCR methods introduced in the study have </w:t>
      </w:r>
      <w:r>
        <w:rPr>
          <w:rFonts w:cstheme="minorHAnsi"/>
          <w:sz w:val="24"/>
          <w:szCs w:val="24"/>
        </w:rPr>
        <w:t>been included in the laboratory’</w:t>
      </w:r>
      <w:r w:rsidRPr="002C4DDA">
        <w:rPr>
          <w:rFonts w:cstheme="minorHAnsi"/>
          <w:sz w:val="24"/>
          <w:szCs w:val="24"/>
        </w:rPr>
        <w:t xml:space="preserve">s routine testing scheme, accredited under ISO17025. </w:t>
      </w:r>
    </w:p>
    <w:p w:rsidR="0057772C" w:rsidRPr="002C4DDA" w:rsidRDefault="0057772C" w:rsidP="0057772C">
      <w:pPr>
        <w:ind w:firstLine="360"/>
        <w:jc w:val="both"/>
        <w:rPr>
          <w:rFonts w:cstheme="minorHAnsi"/>
          <w:sz w:val="24"/>
          <w:szCs w:val="24"/>
        </w:rPr>
      </w:pP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roofErr w:type="gramStart"/>
      <w:r w:rsidRPr="002C4DDA">
        <w:rPr>
          <w:rFonts w:cstheme="minorHAnsi"/>
          <w:sz w:val="24"/>
          <w:szCs w:val="24"/>
        </w:rPr>
        <w:t>Reference</w:t>
      </w:r>
      <w:proofErr w:type="gramEnd"/>
      <w:r w:rsidRPr="002C4DDA">
        <w:rPr>
          <w:rFonts w:cstheme="minorHAnsi"/>
          <w:sz w:val="24"/>
          <w:szCs w:val="24"/>
        </w:rPr>
        <w:t xml:space="preserve">: A Bogožalec Košir, T Demšar, D Štebih, J Žel, M Milavec (2019) Digital PCR as an effective tool for GMO quantification in complex matrices, </w:t>
      </w:r>
      <w:r w:rsidRPr="002C4DDA">
        <w:rPr>
          <w:rFonts w:cstheme="minorHAnsi"/>
          <w:i/>
          <w:iCs/>
          <w:sz w:val="24"/>
          <w:szCs w:val="24"/>
        </w:rPr>
        <w:t>Food Chemistry</w:t>
      </w:r>
      <w:r w:rsidRPr="002C4DDA">
        <w:rPr>
          <w:rFonts w:cstheme="minorHAnsi"/>
          <w:sz w:val="24"/>
          <w:szCs w:val="24"/>
        </w:rPr>
        <w:t xml:space="preserve"> Volume 294, page 73</w:t>
      </w:r>
      <w:r w:rsidRPr="002C4DDA">
        <w:rPr>
          <w:rFonts w:cstheme="minorHAnsi"/>
          <w:sz w:val="24"/>
          <w:szCs w:val="24"/>
        </w:rPr>
        <w:softHyphen/>
      </w:r>
      <w:r w:rsidRPr="002C4DDA">
        <w:rPr>
          <w:rFonts w:cstheme="minorHAnsi"/>
          <w:sz w:val="24"/>
          <w:szCs w:val="24"/>
        </w:rPr>
        <w:softHyphen/>
      </w:r>
      <w:r w:rsidRPr="002C4DDA">
        <w:rPr>
          <w:rFonts w:cstheme="minorHAnsi"/>
          <w:sz w:val="24"/>
          <w:szCs w:val="24"/>
        </w:rPr>
        <w:softHyphen/>
        <w:t>-78.</w:t>
      </w: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
    <w:p w:rsidR="0057772C" w:rsidRPr="002C4DDA" w:rsidRDefault="0057772C" w:rsidP="0057772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both"/>
        <w:rPr>
          <w:rFonts w:cstheme="minorHAnsi"/>
          <w:sz w:val="24"/>
          <w:szCs w:val="24"/>
        </w:rPr>
      </w:pPr>
      <w:proofErr w:type="gramStart"/>
      <w:r w:rsidRPr="002C4DDA">
        <w:rPr>
          <w:rFonts w:cstheme="minorHAnsi"/>
          <w:sz w:val="24"/>
          <w:szCs w:val="24"/>
        </w:rPr>
        <w:t>Link</w:t>
      </w:r>
      <w:proofErr w:type="gramEnd"/>
      <w:r w:rsidRPr="002C4DDA">
        <w:rPr>
          <w:rFonts w:cstheme="minorHAnsi"/>
          <w:sz w:val="24"/>
          <w:szCs w:val="24"/>
        </w:rPr>
        <w:t xml:space="preserve">: </w:t>
      </w:r>
      <w:hyperlink r:id="rId6" w:tgtFrame="_blank" w:tooltip="Persistent link using digital object identifier" w:history="1">
        <w:r w:rsidRPr="002C4DDA">
          <w:rPr>
            <w:rStyle w:val="Hyperlink"/>
            <w:rFonts w:cstheme="minorHAnsi"/>
            <w:sz w:val="24"/>
            <w:szCs w:val="24"/>
          </w:rPr>
          <w:t>https://doi.org/10.1016/j.foodchem.2019.05.029</w:t>
        </w:r>
      </w:hyperlink>
    </w:p>
    <w:p w:rsidR="0057772C" w:rsidRPr="002C4DDA" w:rsidRDefault="0057772C" w:rsidP="0057772C">
      <w:pPr>
        <w:ind w:firstLine="360"/>
        <w:jc w:val="both"/>
        <w:rPr>
          <w:rFonts w:cstheme="minorHAnsi"/>
          <w:sz w:val="24"/>
          <w:szCs w:val="24"/>
        </w:rPr>
      </w:pPr>
    </w:p>
    <w:p w:rsidR="00AD1999" w:rsidRPr="002C4DDA" w:rsidRDefault="00AD1999" w:rsidP="00AD1999">
      <w:pPr>
        <w:ind w:firstLine="360"/>
        <w:jc w:val="both"/>
        <w:rPr>
          <w:rFonts w:cstheme="minorHAnsi"/>
          <w:sz w:val="24"/>
          <w:szCs w:val="24"/>
        </w:rPr>
      </w:pPr>
    </w:p>
    <w:p w:rsidR="004C3D4A" w:rsidRDefault="0057772C"/>
    <w:sectPr w:rsidR="004C3D4A" w:rsidSect="00F92E13">
      <w:headerReference w:type="default" r:id="rId7"/>
      <w:pgSz w:w="11906" w:h="16838"/>
      <w:pgMar w:top="2835" w:right="1417" w:bottom="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13" w:rsidRDefault="00F92E13" w:rsidP="00F92E13">
      <w:r>
        <w:separator/>
      </w:r>
    </w:p>
  </w:endnote>
  <w:endnote w:type="continuationSeparator" w:id="0">
    <w:p w:rsidR="00F92E13" w:rsidRDefault="00F92E13" w:rsidP="00F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Bold">
    <w:altName w:val="Malgun Gothic Semilight"/>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13" w:rsidRDefault="00F92E13" w:rsidP="00F92E13">
      <w:r>
        <w:separator/>
      </w:r>
    </w:p>
  </w:footnote>
  <w:footnote w:type="continuationSeparator" w:id="0">
    <w:p w:rsidR="00F92E13" w:rsidRDefault="00F92E13" w:rsidP="00F9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13" w:rsidRDefault="00B71A6C" w:rsidP="00F92E13">
    <w:pPr>
      <w:pStyle w:val="Header"/>
      <w:ind w:left="-1417"/>
    </w:pPr>
    <w:r>
      <w:rPr>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572219" cy="10715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BNI DOPISNI LIST.pdf"/>
                  <pic:cNvPicPr/>
                </pic:nvPicPr>
                <pic:blipFill>
                  <a:blip r:embed="rId1">
                    <a:extLst>
                      <a:ext uri="{28A0092B-C50C-407E-A947-70E740481C1C}">
                        <a14:useLocalDpi xmlns:a14="http://schemas.microsoft.com/office/drawing/2010/main" val="0"/>
                      </a:ext>
                    </a:extLst>
                  </a:blip>
                  <a:stretch>
                    <a:fillRect/>
                  </a:stretch>
                </pic:blipFill>
                <pic:spPr>
                  <a:xfrm>
                    <a:off x="0" y="0"/>
                    <a:ext cx="7572219" cy="10715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EE"/>
    <w:rsid w:val="000015F3"/>
    <w:rsid w:val="00134857"/>
    <w:rsid w:val="002701D1"/>
    <w:rsid w:val="00391A10"/>
    <w:rsid w:val="0045754A"/>
    <w:rsid w:val="0057772C"/>
    <w:rsid w:val="005D63DF"/>
    <w:rsid w:val="006937EE"/>
    <w:rsid w:val="007F47B8"/>
    <w:rsid w:val="00AB6A90"/>
    <w:rsid w:val="00AD1999"/>
    <w:rsid w:val="00B71A6C"/>
    <w:rsid w:val="00E05B1C"/>
    <w:rsid w:val="00F92E13"/>
    <w:rsid w:val="00FA25F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3FB8B4"/>
  <w15:docId w15:val="{51762AE2-E14E-4318-BA22-BB12D0BC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7EE"/>
    <w:rPr>
      <w:color w:val="0563C1"/>
      <w:u w:val="single"/>
    </w:rPr>
  </w:style>
  <w:style w:type="paragraph" w:styleId="NormalWeb">
    <w:name w:val="Normal (Web)"/>
    <w:basedOn w:val="Normal"/>
    <w:uiPriority w:val="99"/>
    <w:semiHidden/>
    <w:unhideWhenUsed/>
    <w:rsid w:val="006937EE"/>
    <w:pPr>
      <w:spacing w:before="100" w:beforeAutospacing="1" w:after="100" w:afterAutospacing="1"/>
    </w:pPr>
    <w:rPr>
      <w:rFonts w:ascii="Arial" w:hAnsi="Arial" w:cs="Arial"/>
      <w:color w:val="333333"/>
      <w:sz w:val="20"/>
      <w:szCs w:val="20"/>
      <w:lang w:eastAsia="sl-SI"/>
    </w:rPr>
  </w:style>
  <w:style w:type="paragraph" w:styleId="Header">
    <w:name w:val="header"/>
    <w:basedOn w:val="Normal"/>
    <w:link w:val="HeaderChar"/>
    <w:uiPriority w:val="99"/>
    <w:unhideWhenUsed/>
    <w:rsid w:val="00F92E13"/>
    <w:pPr>
      <w:tabs>
        <w:tab w:val="center" w:pos="4320"/>
        <w:tab w:val="right" w:pos="8640"/>
      </w:tabs>
    </w:pPr>
  </w:style>
  <w:style w:type="character" w:customStyle="1" w:styleId="HeaderChar">
    <w:name w:val="Header Char"/>
    <w:basedOn w:val="DefaultParagraphFont"/>
    <w:link w:val="Header"/>
    <w:uiPriority w:val="99"/>
    <w:rsid w:val="00F92E13"/>
    <w:rPr>
      <w:rFonts w:ascii="Calibri" w:hAnsi="Calibri" w:cs="Calibri"/>
    </w:rPr>
  </w:style>
  <w:style w:type="paragraph" w:styleId="Footer">
    <w:name w:val="footer"/>
    <w:basedOn w:val="Normal"/>
    <w:link w:val="FooterChar"/>
    <w:uiPriority w:val="99"/>
    <w:unhideWhenUsed/>
    <w:rsid w:val="00F92E13"/>
    <w:pPr>
      <w:tabs>
        <w:tab w:val="center" w:pos="4320"/>
        <w:tab w:val="right" w:pos="8640"/>
      </w:tabs>
    </w:pPr>
  </w:style>
  <w:style w:type="character" w:customStyle="1" w:styleId="FooterChar">
    <w:name w:val="Footer Char"/>
    <w:basedOn w:val="DefaultParagraphFont"/>
    <w:link w:val="Footer"/>
    <w:uiPriority w:val="99"/>
    <w:rsid w:val="00F92E13"/>
    <w:rPr>
      <w:rFonts w:ascii="Calibri" w:hAnsi="Calibri" w:cs="Calibri"/>
    </w:rPr>
  </w:style>
  <w:style w:type="paragraph" w:styleId="BalloonText">
    <w:name w:val="Balloon Text"/>
    <w:basedOn w:val="Normal"/>
    <w:link w:val="BalloonTextChar"/>
    <w:uiPriority w:val="99"/>
    <w:semiHidden/>
    <w:unhideWhenUsed/>
    <w:rsid w:val="00F92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540014">
      <w:bodyDiv w:val="1"/>
      <w:marLeft w:val="0"/>
      <w:marRight w:val="0"/>
      <w:marTop w:val="0"/>
      <w:marBottom w:val="0"/>
      <w:divBdr>
        <w:top w:val="none" w:sz="0" w:space="0" w:color="auto"/>
        <w:left w:val="none" w:sz="0" w:space="0" w:color="auto"/>
        <w:bottom w:val="none" w:sz="0" w:space="0" w:color="auto"/>
        <w:right w:val="none" w:sz="0" w:space="0" w:color="auto"/>
      </w:divBdr>
    </w:div>
    <w:div w:id="1468082897">
      <w:bodyDiv w:val="1"/>
      <w:marLeft w:val="0"/>
      <w:marRight w:val="0"/>
      <w:marTop w:val="0"/>
      <w:marBottom w:val="0"/>
      <w:divBdr>
        <w:top w:val="none" w:sz="0" w:space="0" w:color="auto"/>
        <w:left w:val="none" w:sz="0" w:space="0" w:color="auto"/>
        <w:bottom w:val="none" w:sz="0" w:space="0" w:color="auto"/>
        <w:right w:val="none" w:sz="0" w:space="0" w:color="auto"/>
      </w:divBdr>
    </w:div>
    <w:div w:id="17032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foodchem.2019.05.0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Vindišar</dc:creator>
  <cp:keywords/>
  <dc:description/>
  <cp:lastModifiedBy>Katja Ploj</cp:lastModifiedBy>
  <cp:revision>4</cp:revision>
  <dcterms:created xsi:type="dcterms:W3CDTF">2019-06-06T08:20:00Z</dcterms:created>
  <dcterms:modified xsi:type="dcterms:W3CDTF">2019-06-06T08:24:00Z</dcterms:modified>
</cp:coreProperties>
</file>